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22"/>
        </w:rPr>
      </w:pPr>
      <w:r>
        <w:rPr>
          <w:rFonts w:hint="eastAsia" w:ascii="黑体" w:hAnsi="黑体" w:eastAsia="黑体"/>
          <w:color w:val="auto"/>
          <w:sz w:val="32"/>
          <w:szCs w:val="22"/>
        </w:rPr>
        <w:t>附件2</w:t>
      </w:r>
    </w:p>
    <w:p>
      <w:pPr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2023年优秀会计案例宣传统一格式</w:t>
      </w:r>
      <w:bookmarkEnd w:id="0"/>
    </w:p>
    <w:p>
      <w:pPr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案例结构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3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案例题目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作者姓名（全）、案例单位名称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摘要、关键字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正文</w:t>
            </w:r>
          </w:p>
        </w:tc>
        <w:tc>
          <w:tcPr>
            <w:tcW w:w="654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一、背景介绍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92" w:type="dxa"/>
            <w:vMerge w:val="continue"/>
          </w:tcPr>
          <w:p>
            <w:pPr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</w:p>
        </w:tc>
        <w:tc>
          <w:tcPr>
            <w:tcW w:w="654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二、总体计划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92" w:type="dxa"/>
            <w:vMerge w:val="continue"/>
          </w:tcPr>
          <w:p>
            <w:pPr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</w:p>
        </w:tc>
        <w:tc>
          <w:tcPr>
            <w:tcW w:w="654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三、实施过程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92" w:type="dxa"/>
            <w:vMerge w:val="continue"/>
          </w:tcPr>
          <w:p>
            <w:pPr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</w:p>
        </w:tc>
        <w:tc>
          <w:tcPr>
            <w:tcW w:w="654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四、取得成效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92" w:type="dxa"/>
            <w:vMerge w:val="continue"/>
          </w:tcPr>
          <w:p>
            <w:pPr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</w:p>
        </w:tc>
        <w:tc>
          <w:tcPr>
            <w:tcW w:w="654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22"/>
              </w:rPr>
              <w:t>五、经验总结</w:t>
            </w:r>
          </w:p>
        </w:tc>
      </w:tr>
    </w:tbl>
    <w:p>
      <w:pPr>
        <w:rPr>
          <w:rFonts w:ascii="仿宋_GB2312" w:hAnsi="宋体" w:eastAsia="仿宋_GB2312"/>
          <w:color w:val="auto"/>
          <w:sz w:val="32"/>
          <w:szCs w:val="22"/>
        </w:rPr>
      </w:pPr>
    </w:p>
    <w:p>
      <w:pPr>
        <w:numPr>
          <w:ilvl w:val="0"/>
          <w:numId w:val="1"/>
        </w:numPr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正文格式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1.各类标题用黑体；作者信息、图表名、参考文献内容用楷体；正文、图表、页眉、页脚中的文字用宋体；英文用</w:t>
      </w:r>
      <w:r>
        <w:rPr>
          <w:rFonts w:ascii="仿宋_GB2312" w:hAnsi="宋体" w:eastAsia="仿宋_GB2312"/>
          <w:color w:val="auto"/>
          <w:sz w:val="32"/>
          <w:szCs w:val="22"/>
        </w:rPr>
        <w:t>Times New Roman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字体。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2.正文文字一般用小</w:t>
      </w:r>
      <w:r>
        <w:rPr>
          <w:rFonts w:ascii="仿宋_GB2312" w:hAnsi="宋体" w:eastAsia="仿宋_GB2312"/>
          <w:color w:val="auto"/>
          <w:sz w:val="32"/>
          <w:szCs w:val="22"/>
        </w:rPr>
        <w:t xml:space="preserve">4 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号宋体，每段首起空两个格，</w:t>
      </w:r>
      <w:r>
        <w:rPr>
          <w:rFonts w:ascii="仿宋_GB2312" w:hAnsi="宋体" w:eastAsia="仿宋_GB2312"/>
          <w:color w:val="auto"/>
          <w:sz w:val="32"/>
          <w:szCs w:val="22"/>
        </w:rPr>
        <w:t>1.25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倍行距。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3.正文文中标题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一级标题：标题序号为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一、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，</w:t>
      </w:r>
      <w:r>
        <w:rPr>
          <w:rFonts w:ascii="仿宋_GB2312" w:hAnsi="宋体" w:eastAsia="仿宋_GB2312"/>
          <w:color w:val="auto"/>
          <w:sz w:val="32"/>
          <w:szCs w:val="22"/>
        </w:rPr>
        <w:t xml:space="preserve"> 4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号黑体，独占行，末尾不加标点符号。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二级标题：标题序号为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（一）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与正文字号相同，独占行，末尾不加标点符号。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三级标题：标题序号为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1.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与正文字号、字体相同。</w:t>
      </w:r>
      <w:r>
        <w:rPr>
          <w:rFonts w:ascii="仿宋_GB2312" w:hAnsi="宋体" w:eastAsia="仿宋_GB2312"/>
          <w:color w:val="auto"/>
          <w:sz w:val="32"/>
          <w:szCs w:val="2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四级标题：标题序号为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（1）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与正文字号、字体相同。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五级标题：标题序号为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①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与正文字号相同，字体Times New Roman。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4.表格和插图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_GB2312" w:hAnsi="宋体" w:eastAsia="仿宋_GB2312"/>
          <w:color w:val="auto"/>
          <w:sz w:val="32"/>
          <w:szCs w:val="22"/>
        </w:rPr>
        <w:t>案例中的表格应有表头（含表序和表名），表头置于表格正上方居中位置，且依序连续编号，标注形式为：表</w:t>
      </w:r>
      <w:r>
        <w:rPr>
          <w:rFonts w:ascii="仿宋_GB2312" w:hAnsi="宋体" w:eastAsia="仿宋_GB2312"/>
          <w:color w:val="auto"/>
          <w:sz w:val="32"/>
          <w:szCs w:val="2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、表</w:t>
      </w:r>
      <w:r>
        <w:rPr>
          <w:rFonts w:ascii="仿宋_GB2312" w:hAnsi="宋体" w:eastAsia="仿宋_GB2312"/>
          <w:color w:val="auto"/>
          <w:sz w:val="32"/>
          <w:szCs w:val="22"/>
        </w:rPr>
        <w:t>2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、表</w:t>
      </w:r>
      <w:r>
        <w:rPr>
          <w:rFonts w:ascii="仿宋_GB2312" w:hAnsi="宋体" w:eastAsia="仿宋_GB2312"/>
          <w:color w:val="auto"/>
          <w:sz w:val="32"/>
          <w:szCs w:val="22"/>
        </w:rPr>
        <w:t>3...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。表内内容应对齐，表内数字、文字连续重复时不可使用</w:t>
      </w:r>
      <w:r>
        <w:rPr>
          <w:rFonts w:ascii="仿宋_GB2312" w:hAnsi="宋体" w:eastAsia="仿宋_GB2312"/>
          <w:color w:val="auto"/>
          <w:sz w:val="32"/>
          <w:szCs w:val="22"/>
        </w:rPr>
        <w:t>“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同上</w:t>
      </w:r>
      <w:r>
        <w:rPr>
          <w:rFonts w:ascii="仿宋_GB2312" w:hAnsi="宋体" w:eastAsia="仿宋_GB2312"/>
          <w:color w:val="auto"/>
          <w:sz w:val="32"/>
          <w:szCs w:val="22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等字样或符号代替。表内有文字时，起行处空一格，回行顶格，文末不用标点符号。表头及表格内的文本字号比正文字号小一号，表头加粗。</w:t>
      </w:r>
    </w:p>
    <w:p>
      <w:r>
        <w:rPr>
          <w:rFonts w:hint="eastAsia" w:ascii="仿宋_GB2312" w:hAnsi="宋体" w:eastAsia="仿宋_GB2312"/>
          <w:color w:val="auto"/>
          <w:sz w:val="32"/>
          <w:szCs w:val="22"/>
        </w:rPr>
        <w:t>案例中的图应有图题（含图序和图名），图题位于图正下方居中位置，且应依序连续编号，编号格式为：图</w:t>
      </w:r>
      <w:r>
        <w:rPr>
          <w:rFonts w:ascii="仿宋_GB2312" w:hAnsi="宋体" w:eastAsia="仿宋_GB2312"/>
          <w:color w:val="auto"/>
          <w:sz w:val="32"/>
          <w:szCs w:val="2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、图</w:t>
      </w:r>
      <w:r>
        <w:rPr>
          <w:rFonts w:ascii="仿宋_GB2312" w:hAnsi="宋体" w:eastAsia="仿宋_GB2312"/>
          <w:color w:val="auto"/>
          <w:sz w:val="32"/>
          <w:szCs w:val="22"/>
        </w:rPr>
        <w:t>2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、图</w:t>
      </w:r>
      <w:r>
        <w:rPr>
          <w:rFonts w:ascii="仿宋_GB2312" w:hAnsi="宋体" w:eastAsia="仿宋_GB2312"/>
          <w:color w:val="auto"/>
          <w:sz w:val="32"/>
          <w:szCs w:val="22"/>
        </w:rPr>
        <w:t>3...</w:t>
      </w:r>
      <w:r>
        <w:rPr>
          <w:rFonts w:hint="eastAsia" w:ascii="仿宋_GB2312" w:hAnsi="宋体" w:eastAsia="仿宋_GB2312"/>
          <w:color w:val="auto"/>
          <w:sz w:val="32"/>
          <w:szCs w:val="22"/>
        </w:rPr>
        <w:t>。图题的字号比正文字号小一号，并加粗。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A432E9"/>
    <w:multiLevelType w:val="multilevel"/>
    <w:tmpl w:val="1AA432E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NzM5OWFlNTYzNzRjODE5NDgzMTkyMDM3Y2RlNjEifQ=="/>
  </w:docVars>
  <w:rsids>
    <w:rsidRoot w:val="27B5140A"/>
    <w:rsid w:val="27B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2023-09-27T02:00:00Z</dcterms:created>
  <dc:creator>解莹</dc:creator>
  <cp:lastModifiedBy>解莹</cp:lastModifiedBy>
  <dcterms:modified xsi:type="dcterms:W3CDTF">2023-09-27T02:00:33Z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D249F073AB854ABB9487F8B72D84FC2A_11</vt:lpwstr>
  </property>
</Properties>
</file>