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sz w:val="32"/>
          <w:szCs w:val="22"/>
        </w:rPr>
      </w:pPr>
      <w:r>
        <w:rPr>
          <w:rFonts w:hint="eastAsia" w:ascii="黑体" w:hAnsi="黑体" w:eastAsia="黑体"/>
          <w:color w:val="auto"/>
          <w:sz w:val="32"/>
          <w:szCs w:val="22"/>
        </w:rPr>
        <w:t>附件1</w:t>
      </w:r>
    </w:p>
    <w:p>
      <w:pPr>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2023年优秀会计案例库入选名单</w:t>
      </w:r>
    </w:p>
    <w:p>
      <w:pPr>
        <w:jc w:val="center"/>
        <w:rPr>
          <w:rFonts w:ascii="仿宋" w:hAnsi="仿宋" w:eastAsia="仿宋"/>
          <w:color w:val="auto"/>
          <w:sz w:val="32"/>
          <w:szCs w:val="32"/>
        </w:rPr>
      </w:pPr>
      <w:r>
        <w:rPr>
          <w:rFonts w:hint="eastAsia" w:ascii="仿宋" w:hAnsi="仿宋" w:eastAsia="仿宋"/>
          <w:color w:val="auto"/>
          <w:sz w:val="32"/>
          <w:szCs w:val="32"/>
        </w:rPr>
        <w:t>（以第一作者姓氏笔画排序）</w:t>
      </w:r>
    </w:p>
    <w:tbl>
      <w:tblPr>
        <w:tblStyle w:val="2"/>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500"/>
        <w:gridCol w:w="5089"/>
        <w:gridCol w:w="1282"/>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jc w:val="center"/>
              <w:rPr>
                <w:rFonts w:ascii="宋体" w:hAnsi="宋体"/>
                <w:b/>
                <w:color w:val="auto"/>
                <w:sz w:val="24"/>
                <w:highlight w:val="none"/>
              </w:rPr>
            </w:pPr>
            <w:r>
              <w:rPr>
                <w:rFonts w:hint="eastAsia" w:ascii="宋体" w:hAnsi="宋体"/>
                <w:b/>
                <w:color w:val="auto"/>
                <w:sz w:val="24"/>
                <w:highlight w:val="none"/>
              </w:rPr>
              <w:t>行次</w:t>
            </w:r>
          </w:p>
        </w:tc>
        <w:tc>
          <w:tcPr>
            <w:tcW w:w="5089" w:type="dxa"/>
            <w:shd w:val="clear" w:color="auto" w:fill="FFFFFF" w:themeFill="background1"/>
            <w:vAlign w:val="center"/>
          </w:tcPr>
          <w:p>
            <w:pPr>
              <w:jc w:val="center"/>
              <w:rPr>
                <w:rFonts w:ascii="宋体" w:hAnsi="宋体"/>
                <w:b/>
                <w:color w:val="auto"/>
                <w:sz w:val="24"/>
                <w:highlight w:val="none"/>
              </w:rPr>
            </w:pPr>
            <w:r>
              <w:rPr>
                <w:rFonts w:hint="eastAsia" w:ascii="宋体" w:hAnsi="宋体"/>
                <w:b/>
                <w:color w:val="auto"/>
                <w:sz w:val="24"/>
                <w:highlight w:val="none"/>
              </w:rPr>
              <w:t>案例名称</w:t>
            </w:r>
          </w:p>
        </w:tc>
        <w:tc>
          <w:tcPr>
            <w:tcW w:w="1282" w:type="dxa"/>
            <w:shd w:val="clear" w:color="auto" w:fill="FFFFFF" w:themeFill="background1"/>
            <w:vAlign w:val="center"/>
          </w:tcPr>
          <w:p>
            <w:pPr>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第一作者</w:t>
            </w:r>
          </w:p>
        </w:tc>
        <w:tc>
          <w:tcPr>
            <w:tcW w:w="1689" w:type="dxa"/>
            <w:shd w:val="clear" w:color="auto" w:fill="FFFFFF" w:themeFill="background1"/>
            <w:vAlign w:val="center"/>
          </w:tcPr>
          <w:p>
            <w:pPr>
              <w:jc w:val="center"/>
              <w:rPr>
                <w:rFonts w:ascii="宋体" w:hAnsi="宋体"/>
                <w:b/>
                <w:color w:val="auto"/>
                <w:sz w:val="24"/>
                <w:highlight w:val="none"/>
              </w:rPr>
            </w:pPr>
            <w:r>
              <w:rPr>
                <w:rFonts w:hint="eastAsia" w:ascii="宋体" w:hAnsi="宋体"/>
                <w:b/>
                <w:color w:val="auto"/>
                <w:sz w:val="24"/>
                <w:highlight w:val="none"/>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50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外派总会的管理体系搭建</w:t>
            </w:r>
          </w:p>
        </w:tc>
        <w:tc>
          <w:tcPr>
            <w:tcW w:w="1282"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马敏</w:t>
            </w:r>
          </w:p>
        </w:tc>
        <w:tc>
          <w:tcPr>
            <w:tcW w:w="16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天津临港投资控股有限公司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50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强化财会监督背景下中医药财政项目绩效评价管理体系的设计与应用</w:t>
            </w:r>
          </w:p>
        </w:tc>
        <w:tc>
          <w:tcPr>
            <w:tcW w:w="1282"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王振</w:t>
            </w:r>
          </w:p>
        </w:tc>
        <w:tc>
          <w:tcPr>
            <w:tcW w:w="16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天津中医药大学第二附属医院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50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温馨高效的全场景财务智能报销系统建设</w:t>
            </w:r>
          </w:p>
        </w:tc>
        <w:tc>
          <w:tcPr>
            <w:tcW w:w="1282"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付力言</w:t>
            </w:r>
          </w:p>
        </w:tc>
        <w:tc>
          <w:tcPr>
            <w:tcW w:w="16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天津商业大学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50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基于业财融合的财务机器人流程自动化应用</w:t>
            </w:r>
          </w:p>
        </w:tc>
        <w:tc>
          <w:tcPr>
            <w:tcW w:w="1282"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代鑫</w:t>
            </w:r>
          </w:p>
        </w:tc>
        <w:tc>
          <w:tcPr>
            <w:tcW w:w="16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国网天津市电力公司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50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关键业绩指标法在公立医院绩效考核中的应用</w:t>
            </w:r>
          </w:p>
        </w:tc>
        <w:tc>
          <w:tcPr>
            <w:tcW w:w="1282"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白学明</w:t>
            </w:r>
          </w:p>
        </w:tc>
        <w:tc>
          <w:tcPr>
            <w:tcW w:w="16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天津市环湖医院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50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关于某市A电力公司往来账款管理的案例研究</w:t>
            </w:r>
          </w:p>
        </w:tc>
        <w:tc>
          <w:tcPr>
            <w:tcW w:w="1282"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宁晓璠</w:t>
            </w:r>
          </w:p>
        </w:tc>
        <w:tc>
          <w:tcPr>
            <w:tcW w:w="1689" w:type="dxa"/>
            <w:shd w:val="clear" w:color="auto" w:fill="FFFFFF" w:themeFill="background1"/>
            <w:vAlign w:val="center"/>
          </w:tcPr>
          <w:p>
            <w:pPr>
              <w:keepNext w:val="0"/>
              <w:keepLines w:val="0"/>
              <w:widowControl/>
              <w:suppressLineNumbers w:val="0"/>
              <w:jc w:val="left"/>
              <w:textAlignment w:val="center"/>
              <w:rPr>
                <w:rFonts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国网天津市电力公司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基于“作业赋能+业财联通”的电网企业标准成本管理模式</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刘立勋</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国网天津市电力公司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天津市住房公积金会计信息化实施案例 </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刘诚宏</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内部控制体系建设</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内控自评案例</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刘健</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cs="宋体"/>
                <w:i w:val="0"/>
                <w:iCs w:val="0"/>
                <w:color w:val="000000"/>
                <w:kern w:val="0"/>
                <w:sz w:val="22"/>
                <w:szCs w:val="22"/>
                <w:highlight w:val="none"/>
                <w:u w:val="none"/>
                <w:lang w:val="en-US" w:eastAsia="zh-CN" w:bidi="ar"/>
              </w:rPr>
              <w:t>天津</w:t>
            </w:r>
            <w:r>
              <w:rPr>
                <w:rFonts w:hint="eastAsia" w:ascii="宋体" w:hAnsi="宋体" w:eastAsia="宋体" w:cs="宋体"/>
                <w:i w:val="0"/>
                <w:iCs w:val="0"/>
                <w:color w:val="000000"/>
                <w:kern w:val="0"/>
                <w:sz w:val="22"/>
                <w:szCs w:val="22"/>
                <w:highlight w:val="none"/>
                <w:u w:val="none"/>
                <w:lang w:val="en-US" w:eastAsia="zh-CN" w:bidi="ar"/>
              </w:rPr>
              <w:t>渤化资产</w:t>
            </w:r>
            <w:r>
              <w:rPr>
                <w:rFonts w:hint="eastAsia" w:ascii="宋体" w:hAnsi="宋体" w:cs="宋体"/>
                <w:i w:val="0"/>
                <w:iCs w:val="0"/>
                <w:color w:val="000000"/>
                <w:kern w:val="0"/>
                <w:sz w:val="22"/>
                <w:szCs w:val="22"/>
                <w:highlight w:val="none"/>
                <w:u w:val="none"/>
                <w:lang w:val="en-US" w:eastAsia="zh-CN" w:bidi="ar"/>
              </w:rPr>
              <w:t>经营管理有限公司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新疆维吾尔自治区残疾人联合会内部控制信息化系统建设项目</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刘梁</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天津倚天会计师事务所有限公司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天津商业大学预算绩效管理体系构建 </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齐静</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天津商业大学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运用标准成本法核算医疗服务项目成本——以T医院为例</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杜娟</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天津市眼科医院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以“智慧信息共享”为核心竣工决算体系构建与实践</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李森</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国网天津市电力公司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14</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流程自动化机器人技术（RPA）在券商财务管理领域中的应用</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李颖</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渤海证券股份有限公司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5089" w:type="dxa"/>
            <w:shd w:val="clear" w:color="auto" w:fill="FFFFFF" w:themeFill="background1"/>
            <w:vAlign w:val="center"/>
          </w:tcPr>
          <w:p>
            <w:pPr>
              <w:rPr>
                <w:rFonts w:hint="eastAsia" w:ascii="宋体" w:hAnsi="宋体"/>
                <w:color w:val="auto"/>
                <w:sz w:val="24"/>
                <w:highlight w:val="none"/>
              </w:rPr>
            </w:pPr>
            <w:r>
              <w:rPr>
                <w:rFonts w:hint="eastAsia"/>
                <w:highlight w:val="none"/>
              </w:rPr>
              <w:t>基于关键指标分析法下的绩效管理应用案例</w:t>
            </w:r>
            <w:r>
              <w:rPr>
                <w:rFonts w:hint="eastAsia"/>
                <w:highlight w:val="none"/>
                <w:lang w:eastAsia="zh-CN"/>
              </w:rPr>
              <w:t>——</w:t>
            </w:r>
            <w:r>
              <w:rPr>
                <w:rFonts w:hint="eastAsia"/>
                <w:highlight w:val="none"/>
              </w:rPr>
              <w:t>以T公司本部为例</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吴瑜峰</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中国天辰工程有限公司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16</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以信息化平台为支撑的全面预算管理在G公司的应用</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朱荣春</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国铁投资发展有限公司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业财融合赋能医院高质量发展</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张学军</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18</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标准成本法在餐饮企业的应用</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张敬勇</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执首企业管理咨询（天津）有限公司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19</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RPA财务机器人流程自动化应用案例</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陈梦</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省级电网企业司库体系建设与实践</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邵洁</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国网天津市电力公司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基于项目全生命周期的基建财务管理</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侍立成</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中国铁路北京局集团有限公司天津工程项目管理部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基于数创平台的内部模拟综合价值评价系统构建</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庞及其</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国网天津市电力公司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23</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天津商业大学：融于财务信息化系统中的财会监督</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郭伟</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天津商业大学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24</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以财务共享服务模式为抓手建设一流财务管理体系</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陶力</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天津港（集团）有限公司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目标成本法的应用分析 </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程飞</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天津金箭电动车有限公司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固定资产电子化管理系统案例</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樊晓燕</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天津市无线电监测站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创新构建风险、内控、法律、合规“四合一”大风控体系</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霍润正</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国网天津市电力公司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 w:type="dxa"/>
            <w:shd w:val="clear" w:color="auto" w:fill="FFFFFF" w:themeFill="background1"/>
            <w:vAlign w:val="center"/>
          </w:tcPr>
          <w:p>
            <w:pPr>
              <w:keepNext w:val="0"/>
              <w:keepLines w:val="0"/>
              <w:widowControl/>
              <w:suppressLineNumbers w:val="0"/>
              <w:jc w:val="center"/>
              <w:textAlignment w:val="center"/>
              <w:rPr>
                <w:rFonts w:hint="eastAsia" w:ascii="宋体" w:hAnsi="宋体"/>
                <w:color w:val="auto"/>
                <w:sz w:val="24"/>
                <w:highlight w:val="none"/>
              </w:rPr>
            </w:pPr>
            <w:r>
              <w:rPr>
                <w:rFonts w:hint="eastAsia" w:ascii="宋体" w:hAnsi="宋体" w:eastAsia="宋体" w:cs="宋体"/>
                <w:i w:val="0"/>
                <w:iCs w:val="0"/>
                <w:color w:val="000000"/>
                <w:kern w:val="0"/>
                <w:sz w:val="24"/>
                <w:szCs w:val="24"/>
                <w:highlight w:val="none"/>
                <w:u w:val="none"/>
                <w:lang w:val="en-US" w:eastAsia="zh-CN" w:bidi="ar"/>
              </w:rPr>
              <w:t>28</w:t>
            </w:r>
          </w:p>
        </w:tc>
        <w:tc>
          <w:tcPr>
            <w:tcW w:w="50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以全生命周期线上管理为核心构建世界一流资金账户管理体系</w:t>
            </w:r>
          </w:p>
        </w:tc>
        <w:tc>
          <w:tcPr>
            <w:tcW w:w="1282"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鞠兆欣</w:t>
            </w:r>
          </w:p>
        </w:tc>
        <w:tc>
          <w:tcPr>
            <w:tcW w:w="1689" w:type="dxa"/>
            <w:shd w:val="clear" w:color="auto" w:fill="FFFFFF" w:themeFill="background1"/>
            <w:vAlign w:val="center"/>
          </w:tcPr>
          <w:p>
            <w:pPr>
              <w:keepNext w:val="0"/>
              <w:keepLines w:val="0"/>
              <w:widowControl/>
              <w:suppressLineNumbers w:val="0"/>
              <w:jc w:val="left"/>
              <w:textAlignment w:val="center"/>
              <w:rPr>
                <w:rFonts w:hint="eastAsia" w:ascii="宋体" w:hAnsi="宋体"/>
                <w:color w:val="auto"/>
                <w:sz w:val="24"/>
                <w:highlight w:val="none"/>
              </w:rPr>
            </w:pPr>
            <w:r>
              <w:rPr>
                <w:rFonts w:hint="eastAsia" w:ascii="宋体" w:hAnsi="宋体" w:eastAsia="宋体" w:cs="宋体"/>
                <w:i w:val="0"/>
                <w:iCs w:val="0"/>
                <w:color w:val="000000"/>
                <w:kern w:val="0"/>
                <w:sz w:val="22"/>
                <w:szCs w:val="22"/>
                <w:highlight w:val="none"/>
                <w:u w:val="none"/>
                <w:lang w:val="en-US" w:eastAsia="zh-CN" w:bidi="ar"/>
              </w:rPr>
              <w:t>天津港（集团）有限公司</w:t>
            </w:r>
          </w:p>
        </w:tc>
      </w:tr>
    </w:tbl>
    <w:p>
      <w:pPr>
        <w:rPr>
          <w:rFonts w:ascii="仿宋_GB2312" w:hAnsi="宋体" w:eastAsia="仿宋_GB2312"/>
          <w:color w:val="auto"/>
          <w:sz w:val="32"/>
          <w:szCs w:val="2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NzM5OWFlNTYzNzRjODE5NDgzMTkyMDM3Y2RlNjEifQ=="/>
  </w:docVars>
  <w:rsids>
    <w:rsidRoot w:val="16944E9C"/>
    <w:rsid w:val="16944E9C"/>
    <w:rsid w:val="6BA46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2023-09-27T01:59:00Z</dcterms:created>
  <dc:creator>解莹</dc:creator>
  <cp:lastModifiedBy>解莹</cp:lastModifiedBy>
  <dcterms:modified xsi:type="dcterms:W3CDTF">2023-09-28T02:02:50Z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C87AB2D6CC494E8FA8AFB26D895DE008_11</vt:lpwstr>
  </property>
</Properties>
</file>