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auto"/>
          <w:sz w:val="32"/>
          <w:szCs w:val="22"/>
        </w:rPr>
      </w:pPr>
      <w:r>
        <w:rPr>
          <w:rFonts w:hint="eastAsia" w:ascii="黑体" w:hAnsi="黑体" w:eastAsia="黑体"/>
          <w:color w:val="auto"/>
          <w:sz w:val="32"/>
          <w:szCs w:val="22"/>
        </w:rPr>
        <w:t>附件1</w:t>
      </w:r>
    </w:p>
    <w:p>
      <w:pPr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2026年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eastAsia="zh-CN"/>
        </w:rPr>
        <w:t>度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优秀会计案例库入选名单</w:t>
      </w:r>
    </w:p>
    <w:p>
      <w:pPr>
        <w:jc w:val="center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（按姓氏笔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画</w:t>
      </w:r>
      <w:bookmarkStart w:id="1" w:name="_GoBack"/>
      <w:bookmarkEnd w:id="1"/>
      <w:r>
        <w:rPr>
          <w:rFonts w:hint="eastAsia" w:ascii="仿宋" w:hAnsi="仿宋" w:eastAsia="仿宋"/>
          <w:color w:val="auto"/>
          <w:sz w:val="32"/>
          <w:szCs w:val="32"/>
        </w:rPr>
        <w:t>排序）</w:t>
      </w:r>
    </w:p>
    <w:tbl>
      <w:tblPr>
        <w:tblStyle w:val="17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005"/>
        <w:gridCol w:w="1276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bookmarkStart w:id="0" w:name="_Hlk233634995"/>
            <w:r>
              <w:t>行次</w:t>
            </w:r>
          </w:p>
        </w:tc>
        <w:tc>
          <w:tcPr>
            <w:tcW w:w="5005" w:type="dxa"/>
            <w:vAlign w:val="center"/>
          </w:tcPr>
          <w:p>
            <w:pPr>
              <w:jc w:val="center"/>
            </w:pPr>
            <w:r>
              <w:t>案例名称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t>第一作者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</w:pPr>
            <w:r>
              <w:t>案例单位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5005" w:type="dxa"/>
            <w:vAlign w:val="center"/>
          </w:tcPr>
          <w:p>
            <w:r>
              <w:t>数智化驱动下天津食品集团会计核算模式转型实例</w:t>
            </w:r>
          </w:p>
        </w:tc>
        <w:tc>
          <w:tcPr>
            <w:tcW w:w="1276" w:type="dxa"/>
            <w:vAlign w:val="center"/>
          </w:tcPr>
          <w:p>
            <w:r>
              <w:t>于艳萍</w:t>
            </w:r>
          </w:p>
        </w:tc>
        <w:tc>
          <w:tcPr>
            <w:tcW w:w="1779" w:type="dxa"/>
            <w:vAlign w:val="center"/>
          </w:tcPr>
          <w:p>
            <w:r>
              <w:t>天津食品集团有限公司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5005" w:type="dxa"/>
            <w:vAlign w:val="center"/>
          </w:tcPr>
          <w:p>
            <w:r>
              <w:t>育英才促数智转型，融业技绘价值蓝图——数智化背景下中交华北财务共享中心复合型财会人才培养体系研究</w:t>
            </w:r>
          </w:p>
        </w:tc>
        <w:tc>
          <w:tcPr>
            <w:tcW w:w="1276" w:type="dxa"/>
            <w:vAlign w:val="center"/>
          </w:tcPr>
          <w:p>
            <w:r>
              <w:t>王世臣</w:t>
            </w:r>
          </w:p>
        </w:tc>
        <w:tc>
          <w:tcPr>
            <w:tcW w:w="1779" w:type="dxa"/>
            <w:vAlign w:val="center"/>
          </w:tcPr>
          <w:p>
            <w:r>
              <w:t>中国交通建设股份有限公司华北财务共享中心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5005" w:type="dxa"/>
            <w:vAlign w:val="center"/>
          </w:tcPr>
          <w:p>
            <w:r>
              <w:t>基于业财融合的资金全链条管控体系建设</w:t>
            </w:r>
          </w:p>
        </w:tc>
        <w:tc>
          <w:tcPr>
            <w:tcW w:w="1276" w:type="dxa"/>
            <w:vAlign w:val="center"/>
          </w:tcPr>
          <w:p>
            <w:r>
              <w:t>王亚兰</w:t>
            </w:r>
          </w:p>
        </w:tc>
        <w:tc>
          <w:tcPr>
            <w:tcW w:w="1779" w:type="dxa"/>
            <w:vAlign w:val="center"/>
          </w:tcPr>
          <w:p>
            <w:r>
              <w:t>天津市第五中心医院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5005" w:type="dxa"/>
            <w:vAlign w:val="center"/>
          </w:tcPr>
          <w:p>
            <w:r>
              <w:t>数智赋能，全链穿透——中交集团华北财务共享中心会计信息全链路穿透式智控实践</w:t>
            </w:r>
          </w:p>
        </w:tc>
        <w:tc>
          <w:tcPr>
            <w:tcW w:w="1276" w:type="dxa"/>
            <w:vAlign w:val="center"/>
          </w:tcPr>
          <w:p>
            <w:r>
              <w:t>王宗娟</w:t>
            </w:r>
          </w:p>
        </w:tc>
        <w:tc>
          <w:tcPr>
            <w:tcW w:w="1779" w:type="dxa"/>
            <w:vAlign w:val="center"/>
          </w:tcPr>
          <w:p>
            <w:r>
              <w:t>中国交通建设股份有限公司华北财务共享中心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5005" w:type="dxa"/>
            <w:vAlign w:val="center"/>
          </w:tcPr>
          <w:p>
            <w:r>
              <w:t>数智化驱动下国有融资平台集团“业财税资档”一体化财务管理体系建设与实践</w:t>
            </w:r>
          </w:p>
        </w:tc>
        <w:tc>
          <w:tcPr>
            <w:tcW w:w="1276" w:type="dxa"/>
            <w:vAlign w:val="center"/>
          </w:tcPr>
          <w:p>
            <w:r>
              <w:t>王寅生</w:t>
            </w:r>
          </w:p>
        </w:tc>
        <w:tc>
          <w:tcPr>
            <w:tcW w:w="1779" w:type="dxa"/>
            <w:vAlign w:val="center"/>
          </w:tcPr>
          <w:p>
            <w:r>
              <w:t>天津东丽投资控股集团有限公司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005" w:type="dxa"/>
            <w:vAlign w:val="center"/>
          </w:tcPr>
          <w:p>
            <w:r>
              <w:t>数智技术赋能重大工程质量成本穿透式管控——某运河企石枢纽智慧拌合工厂的实践</w:t>
            </w:r>
          </w:p>
        </w:tc>
        <w:tc>
          <w:tcPr>
            <w:tcW w:w="1276" w:type="dxa"/>
            <w:vAlign w:val="center"/>
          </w:tcPr>
          <w:p>
            <w:r>
              <w:t>王鹏</w:t>
            </w:r>
          </w:p>
        </w:tc>
        <w:tc>
          <w:tcPr>
            <w:tcW w:w="1779" w:type="dxa"/>
            <w:vAlign w:val="center"/>
          </w:tcPr>
          <w:p>
            <w:r>
              <w:t>中交一航局第一工程有限公司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005" w:type="dxa"/>
            <w:vAlign w:val="center"/>
          </w:tcPr>
          <w:p>
            <w:r>
              <w:t>数智化驱动下工程企业资金预算管理体系建设与应用——以某建筑业央企三级子公司为例</w:t>
            </w:r>
          </w:p>
        </w:tc>
        <w:tc>
          <w:tcPr>
            <w:tcW w:w="1276" w:type="dxa"/>
            <w:vAlign w:val="center"/>
          </w:tcPr>
          <w:p>
            <w:r>
              <w:t>王鹏</w:t>
            </w:r>
          </w:p>
        </w:tc>
        <w:tc>
          <w:tcPr>
            <w:tcW w:w="1779" w:type="dxa"/>
            <w:vAlign w:val="center"/>
          </w:tcPr>
          <w:p>
            <w:r>
              <w:t>中交一航局第一工程有限公司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005" w:type="dxa"/>
            <w:vAlign w:val="center"/>
          </w:tcPr>
          <w:p>
            <w:r>
              <w:t>数智化驱动建筑施工责任成本与项目盈利精准管控实践</w:t>
            </w:r>
          </w:p>
        </w:tc>
        <w:tc>
          <w:tcPr>
            <w:tcW w:w="1276" w:type="dxa"/>
            <w:vAlign w:val="center"/>
          </w:tcPr>
          <w:p>
            <w:r>
              <w:t>王新峰</w:t>
            </w:r>
          </w:p>
        </w:tc>
        <w:tc>
          <w:tcPr>
            <w:tcW w:w="1779" w:type="dxa"/>
            <w:vAlign w:val="center"/>
          </w:tcPr>
          <w:p>
            <w:r>
              <w:t>中铁十八局集团第一工程有限公司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5005" w:type="dxa"/>
            <w:vAlign w:val="center"/>
          </w:tcPr>
          <w:p>
            <w:r>
              <w:t>金开新能：数智赋能ESG，构建清洁能源企业可持续信息披露新范式</w:t>
            </w:r>
          </w:p>
        </w:tc>
        <w:tc>
          <w:tcPr>
            <w:tcW w:w="1276" w:type="dxa"/>
            <w:vAlign w:val="center"/>
          </w:tcPr>
          <w:p>
            <w:r>
              <w:t>王颢霖</w:t>
            </w:r>
          </w:p>
        </w:tc>
        <w:tc>
          <w:tcPr>
            <w:tcW w:w="1779" w:type="dxa"/>
            <w:vAlign w:val="center"/>
          </w:tcPr>
          <w:p>
            <w:r>
              <w:t>金开新能源股份有限公司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5005" w:type="dxa"/>
            <w:vAlign w:val="center"/>
          </w:tcPr>
          <w:p>
            <w:r>
              <w:t>数智化驱动财务转型——中交一航局数据资产入表创新实践</w:t>
            </w:r>
          </w:p>
        </w:tc>
        <w:tc>
          <w:tcPr>
            <w:tcW w:w="1276" w:type="dxa"/>
            <w:vAlign w:val="center"/>
          </w:tcPr>
          <w:p>
            <w:r>
              <w:t>毛杰</w:t>
            </w:r>
          </w:p>
        </w:tc>
        <w:tc>
          <w:tcPr>
            <w:tcW w:w="1779" w:type="dxa"/>
            <w:vAlign w:val="center"/>
          </w:tcPr>
          <w:p>
            <w:r>
              <w:t>中交第一航务工程局有限公司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5005" w:type="dxa"/>
            <w:vAlign w:val="center"/>
          </w:tcPr>
          <w:p>
            <w:r>
              <w:t>天津市社保中心基金会计电子档案管理实践</w:t>
            </w:r>
          </w:p>
        </w:tc>
        <w:tc>
          <w:tcPr>
            <w:tcW w:w="1276" w:type="dxa"/>
            <w:vAlign w:val="center"/>
          </w:tcPr>
          <w:p>
            <w:r>
              <w:t>邓长勇</w:t>
            </w:r>
          </w:p>
        </w:tc>
        <w:tc>
          <w:tcPr>
            <w:tcW w:w="1779" w:type="dxa"/>
            <w:vAlign w:val="center"/>
          </w:tcPr>
          <w:p>
            <w:r>
              <w:t>天津市社会保险基金管理中心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5005" w:type="dxa"/>
            <w:vAlign w:val="center"/>
          </w:tcPr>
          <w:p>
            <w:r>
              <w:t>全面风险管理的“数智化”答案——以“投资管理平台”为母系统的全方位风险管控数智系统</w:t>
            </w:r>
          </w:p>
        </w:tc>
        <w:tc>
          <w:tcPr>
            <w:tcW w:w="1276" w:type="dxa"/>
            <w:vAlign w:val="center"/>
          </w:tcPr>
          <w:p>
            <w:r>
              <w:t>田扩</w:t>
            </w:r>
          </w:p>
        </w:tc>
        <w:tc>
          <w:tcPr>
            <w:tcW w:w="1779" w:type="dxa"/>
            <w:vAlign w:val="center"/>
          </w:tcPr>
          <w:p>
            <w:r>
              <w:t>金开新能源股份有限公司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5005" w:type="dxa"/>
            <w:vAlign w:val="center"/>
          </w:tcPr>
          <w:p>
            <w:r>
              <w:t>数智赋能，核算焕新：高校财务核算数智化转型创新实践</w:t>
            </w:r>
          </w:p>
        </w:tc>
        <w:tc>
          <w:tcPr>
            <w:tcW w:w="1276" w:type="dxa"/>
            <w:vAlign w:val="center"/>
          </w:tcPr>
          <w:p>
            <w:r>
              <w:t>史蒙</w:t>
            </w:r>
          </w:p>
        </w:tc>
        <w:tc>
          <w:tcPr>
            <w:tcW w:w="1779" w:type="dxa"/>
            <w:vAlign w:val="center"/>
          </w:tcPr>
          <w:p>
            <w:r>
              <w:t>天津大学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5005" w:type="dxa"/>
            <w:vAlign w:val="center"/>
          </w:tcPr>
          <w:p>
            <w:r>
              <w:t xml:space="preserve">数智化背景下高校收费核算全流程自动化转型实践——以N大学统一收费平台建设为例 </w:t>
            </w:r>
          </w:p>
        </w:tc>
        <w:tc>
          <w:tcPr>
            <w:tcW w:w="1276" w:type="dxa"/>
            <w:vAlign w:val="center"/>
          </w:tcPr>
          <w:p>
            <w:r>
              <w:t>刘文婷</w:t>
            </w:r>
          </w:p>
        </w:tc>
        <w:tc>
          <w:tcPr>
            <w:tcW w:w="1779" w:type="dxa"/>
            <w:vAlign w:val="center"/>
          </w:tcPr>
          <w:p>
            <w: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5005" w:type="dxa"/>
            <w:vAlign w:val="center"/>
          </w:tcPr>
          <w:p>
            <w:r>
              <w:t>基于“数创平台+数据中台”的内部模拟综合价值评价系统构建</w:t>
            </w:r>
          </w:p>
        </w:tc>
        <w:tc>
          <w:tcPr>
            <w:tcW w:w="1276" w:type="dxa"/>
            <w:vAlign w:val="center"/>
          </w:tcPr>
          <w:p>
            <w:r>
              <w:t>刘立勋</w:t>
            </w:r>
          </w:p>
        </w:tc>
        <w:tc>
          <w:tcPr>
            <w:tcW w:w="1779" w:type="dxa"/>
            <w:vAlign w:val="center"/>
          </w:tcPr>
          <w:p>
            <w:r>
              <w:t>国网天津市电力公司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5005" w:type="dxa"/>
            <w:vAlign w:val="center"/>
          </w:tcPr>
          <w:p>
            <w:r>
              <w:t>基于OA平台的高职院校内部控制体系数智化建设实践</w:t>
            </w:r>
          </w:p>
        </w:tc>
        <w:tc>
          <w:tcPr>
            <w:tcW w:w="1276" w:type="dxa"/>
            <w:vAlign w:val="center"/>
          </w:tcPr>
          <w:p>
            <w:r>
              <w:t>刘金鑫</w:t>
            </w:r>
          </w:p>
        </w:tc>
        <w:tc>
          <w:tcPr>
            <w:tcW w:w="1779" w:type="dxa"/>
            <w:vAlign w:val="center"/>
          </w:tcPr>
          <w:p>
            <w:r>
              <w:t>天津铁道职业技术学院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5005" w:type="dxa"/>
            <w:vAlign w:val="center"/>
          </w:tcPr>
          <w:p>
            <w:r>
              <w:t>数据赋能，资通全球：中交华北财务共享中心从数智司库到数据要素价值化的实践探索</w:t>
            </w:r>
          </w:p>
        </w:tc>
        <w:tc>
          <w:tcPr>
            <w:tcW w:w="1276" w:type="dxa"/>
            <w:vAlign w:val="center"/>
          </w:tcPr>
          <w:p>
            <w:r>
              <w:t>刘洪顺</w:t>
            </w:r>
          </w:p>
        </w:tc>
        <w:tc>
          <w:tcPr>
            <w:tcW w:w="1779" w:type="dxa"/>
            <w:vAlign w:val="center"/>
          </w:tcPr>
          <w:p>
            <w:r>
              <w:t>中国交通建设股份有限公司华北财务共享中心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5005" w:type="dxa"/>
            <w:vAlign w:val="center"/>
          </w:tcPr>
          <w:p>
            <w:r>
              <w:t>数智化背景下现代信息技术在百利机械会计核算中的实践</w:t>
            </w:r>
          </w:p>
        </w:tc>
        <w:tc>
          <w:tcPr>
            <w:tcW w:w="1276" w:type="dxa"/>
            <w:vAlign w:val="center"/>
          </w:tcPr>
          <w:p>
            <w:r>
              <w:t>刘晓媛</w:t>
            </w:r>
          </w:p>
        </w:tc>
        <w:tc>
          <w:tcPr>
            <w:tcW w:w="1779" w:type="dxa"/>
            <w:vAlign w:val="center"/>
          </w:tcPr>
          <w:p>
            <w:r>
              <w:t>天津百利机械装备集团有限公司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5005" w:type="dxa"/>
            <w:vAlign w:val="center"/>
          </w:tcPr>
          <w:p>
            <w:r>
              <w:t>行政事业单位多耦合核算模式实践探索</w:t>
            </w:r>
          </w:p>
        </w:tc>
        <w:tc>
          <w:tcPr>
            <w:tcW w:w="1276" w:type="dxa"/>
            <w:vAlign w:val="center"/>
          </w:tcPr>
          <w:p>
            <w:r>
              <w:t>刘瑾</w:t>
            </w:r>
          </w:p>
        </w:tc>
        <w:tc>
          <w:tcPr>
            <w:tcW w:w="1779" w:type="dxa"/>
            <w:vAlign w:val="center"/>
          </w:tcPr>
          <w:p>
            <w:r>
              <w:t>天津市北辰区财政局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5005" w:type="dxa"/>
            <w:vAlign w:val="center"/>
          </w:tcPr>
          <w:p>
            <w:r>
              <w:t>数智化赋能会计核算，提质增效促发展——天津滙鑫盈泰企业管理咨询有限公司会计核算数智化转型典型案例</w:t>
            </w:r>
          </w:p>
        </w:tc>
        <w:tc>
          <w:tcPr>
            <w:tcW w:w="1276" w:type="dxa"/>
            <w:vAlign w:val="center"/>
          </w:tcPr>
          <w:p>
            <w:r>
              <w:t>刘磊</w:t>
            </w:r>
          </w:p>
        </w:tc>
        <w:tc>
          <w:tcPr>
            <w:tcW w:w="1779" w:type="dxa"/>
            <w:vAlign w:val="center"/>
          </w:tcPr>
          <w:p>
            <w:r>
              <w:t>天津滙鑫盈泰企业管理咨询有限公司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5005" w:type="dxa"/>
            <w:vAlign w:val="center"/>
          </w:tcPr>
          <w:p>
            <w:r>
              <w:t>公立医院财务数智化转型实践——基于财务业财一体化平台的会计凭证自动生成案例</w:t>
            </w:r>
          </w:p>
        </w:tc>
        <w:tc>
          <w:tcPr>
            <w:tcW w:w="1276" w:type="dxa"/>
            <w:vAlign w:val="center"/>
          </w:tcPr>
          <w:p>
            <w:r>
              <w:t>刘震</w:t>
            </w:r>
          </w:p>
        </w:tc>
        <w:tc>
          <w:tcPr>
            <w:tcW w:w="1779" w:type="dxa"/>
            <w:vAlign w:val="center"/>
          </w:tcPr>
          <w:p>
            <w:r>
              <w:t>天津市黄河医院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5005" w:type="dxa"/>
            <w:vAlign w:val="center"/>
          </w:tcPr>
          <w:p>
            <w:r>
              <w:t>数智化驱动下的环保企业业财资税档一体化核算模式转型实践</w:t>
            </w:r>
          </w:p>
        </w:tc>
        <w:tc>
          <w:tcPr>
            <w:tcW w:w="1276" w:type="dxa"/>
            <w:vAlign w:val="center"/>
          </w:tcPr>
          <w:p>
            <w:r>
              <w:t>齐连彬</w:t>
            </w:r>
          </w:p>
        </w:tc>
        <w:tc>
          <w:tcPr>
            <w:tcW w:w="1779" w:type="dxa"/>
            <w:vAlign w:val="center"/>
          </w:tcPr>
          <w:p>
            <w:r>
              <w:t>天津创业环保集团股份有限公司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5005" w:type="dxa"/>
            <w:vAlign w:val="center"/>
          </w:tcPr>
          <w:p>
            <w:r>
              <w:t>数智化背景下建筑施工企业会计核算模式转型实践</w:t>
            </w:r>
          </w:p>
        </w:tc>
        <w:tc>
          <w:tcPr>
            <w:tcW w:w="1276" w:type="dxa"/>
            <w:vAlign w:val="center"/>
          </w:tcPr>
          <w:p>
            <w:r>
              <w:t>李成成</w:t>
            </w:r>
          </w:p>
        </w:tc>
        <w:tc>
          <w:tcPr>
            <w:tcW w:w="1779" w:type="dxa"/>
            <w:vAlign w:val="center"/>
          </w:tcPr>
          <w:p>
            <w:r>
              <w:t>天津港航工程有限公司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5005" w:type="dxa"/>
            <w:vAlign w:val="center"/>
          </w:tcPr>
          <w:p>
            <w:r>
              <w:t>依托NCC总账与Excel构建债务风险预警体系的探索</w:t>
            </w:r>
          </w:p>
        </w:tc>
        <w:tc>
          <w:tcPr>
            <w:tcW w:w="1276" w:type="dxa"/>
            <w:vAlign w:val="center"/>
          </w:tcPr>
          <w:p>
            <w:r>
              <w:t>李佳芳</w:t>
            </w:r>
          </w:p>
        </w:tc>
        <w:tc>
          <w:tcPr>
            <w:tcW w:w="1779" w:type="dxa"/>
            <w:vAlign w:val="center"/>
          </w:tcPr>
          <w:p>
            <w:r>
              <w:t>天津宁河国有资本投资运营有限公司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5005" w:type="dxa"/>
            <w:vAlign w:val="center"/>
          </w:tcPr>
          <w:p>
            <w:r>
              <w:t>数智化背景下企业内部控制体系建设案例</w:t>
            </w:r>
          </w:p>
        </w:tc>
        <w:tc>
          <w:tcPr>
            <w:tcW w:w="1276" w:type="dxa"/>
            <w:vAlign w:val="center"/>
          </w:tcPr>
          <w:p>
            <w:r>
              <w:t>李学</w:t>
            </w:r>
          </w:p>
        </w:tc>
        <w:tc>
          <w:tcPr>
            <w:tcW w:w="1779" w:type="dxa"/>
            <w:vAlign w:val="center"/>
          </w:tcPr>
          <w:p>
            <w:r>
              <w:t>天津北辰经济技术开发区发展促进有限公司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5005" w:type="dxa"/>
            <w:vAlign w:val="center"/>
          </w:tcPr>
          <w:p>
            <w:r>
              <w:t>数智驱动，业财融合：公立医院全面预算与智能报销一体化管控平台创新实践</w:t>
            </w:r>
          </w:p>
        </w:tc>
        <w:tc>
          <w:tcPr>
            <w:tcW w:w="1276" w:type="dxa"/>
            <w:vAlign w:val="center"/>
          </w:tcPr>
          <w:p>
            <w:r>
              <w:t>李艳帼</w:t>
            </w:r>
          </w:p>
        </w:tc>
        <w:tc>
          <w:tcPr>
            <w:tcW w:w="1779" w:type="dxa"/>
            <w:vAlign w:val="center"/>
          </w:tcPr>
          <w:p>
            <w:r>
              <w:t>天津中医药大学第一附属医院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tcW w:w="5005" w:type="dxa"/>
            <w:vAlign w:val="center"/>
          </w:tcPr>
          <w:p>
            <w:r>
              <w:t>财务数智化转型助力海鸥表业高质量发展——财务合并报表一体化管理平台建设</w:t>
            </w:r>
          </w:p>
        </w:tc>
        <w:tc>
          <w:tcPr>
            <w:tcW w:w="1276" w:type="dxa"/>
            <w:vAlign w:val="center"/>
          </w:tcPr>
          <w:p>
            <w:r>
              <w:t>李璐</w:t>
            </w:r>
          </w:p>
        </w:tc>
        <w:tc>
          <w:tcPr>
            <w:tcW w:w="1779" w:type="dxa"/>
            <w:vAlign w:val="center"/>
          </w:tcPr>
          <w:p>
            <w:r>
              <w:t>天津海鸥表业集团有限公司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5005" w:type="dxa"/>
            <w:vAlign w:val="center"/>
          </w:tcPr>
          <w:p>
            <w:r>
              <w:t>智能财务建设创新实践运用</w:t>
            </w:r>
          </w:p>
        </w:tc>
        <w:tc>
          <w:tcPr>
            <w:tcW w:w="1276" w:type="dxa"/>
            <w:vAlign w:val="center"/>
          </w:tcPr>
          <w:p>
            <w:r>
              <w:t>杨菁</w:t>
            </w:r>
          </w:p>
        </w:tc>
        <w:tc>
          <w:tcPr>
            <w:tcW w:w="1779" w:type="dxa"/>
            <w:vAlign w:val="center"/>
          </w:tcPr>
          <w:p>
            <w:r>
              <w:t>天津交易集团有限公司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tcW w:w="5005" w:type="dxa"/>
            <w:vAlign w:val="center"/>
          </w:tcPr>
          <w:p>
            <w:r>
              <w:t>智慧财务背景下中职院校财务管理优化研究——以数字员工在Y学校的应用为例</w:t>
            </w:r>
          </w:p>
        </w:tc>
        <w:tc>
          <w:tcPr>
            <w:tcW w:w="1276" w:type="dxa"/>
            <w:vAlign w:val="center"/>
          </w:tcPr>
          <w:p>
            <w:r>
              <w:t>杨鑫彤</w:t>
            </w:r>
          </w:p>
        </w:tc>
        <w:tc>
          <w:tcPr>
            <w:tcW w:w="1779" w:type="dxa"/>
            <w:vAlign w:val="center"/>
          </w:tcPr>
          <w:p>
            <w:r>
              <w:t>天津市幼儿师范学校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5005" w:type="dxa"/>
            <w:vAlign w:val="center"/>
          </w:tcPr>
          <w:p>
            <w:r>
              <w:t>数智化驱动的新能源发电企业全生命周期价值管理应用实践</w:t>
            </w:r>
          </w:p>
        </w:tc>
        <w:tc>
          <w:tcPr>
            <w:tcW w:w="1276" w:type="dxa"/>
            <w:vAlign w:val="center"/>
          </w:tcPr>
          <w:p>
            <w:r>
              <w:t>吴安娜</w:t>
            </w:r>
          </w:p>
        </w:tc>
        <w:tc>
          <w:tcPr>
            <w:tcW w:w="1779" w:type="dxa"/>
            <w:vAlign w:val="center"/>
          </w:tcPr>
          <w:p>
            <w:r>
              <w:t>金开新能源股份有限公司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tcW w:w="5005" w:type="dxa"/>
            <w:vAlign w:val="center"/>
          </w:tcPr>
          <w:p>
            <w:r>
              <w:t>以数为眼，以财为脉——数据管理决策支持系统赋能国家医学中心建设</w:t>
            </w:r>
          </w:p>
        </w:tc>
        <w:tc>
          <w:tcPr>
            <w:tcW w:w="1276" w:type="dxa"/>
            <w:vAlign w:val="center"/>
          </w:tcPr>
          <w:p>
            <w:r>
              <w:t>宋卓</w:t>
            </w:r>
          </w:p>
        </w:tc>
        <w:tc>
          <w:tcPr>
            <w:tcW w:w="1779" w:type="dxa"/>
            <w:vAlign w:val="center"/>
          </w:tcPr>
          <w:p>
            <w:r>
              <w:t>天津中医药大学第一附属医院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tcW w:w="5005" w:type="dxa"/>
            <w:vAlign w:val="center"/>
          </w:tcPr>
          <w:p>
            <w:r>
              <w:t>数智化赋能管理会计：企业预算管理动态监控可视化实践</w:t>
            </w:r>
          </w:p>
        </w:tc>
        <w:tc>
          <w:tcPr>
            <w:tcW w:w="1276" w:type="dxa"/>
            <w:vAlign w:val="center"/>
          </w:tcPr>
          <w:p>
            <w:r>
              <w:t>迟林</w:t>
            </w:r>
          </w:p>
        </w:tc>
        <w:tc>
          <w:tcPr>
            <w:tcW w:w="1779" w:type="dxa"/>
            <w:vAlign w:val="center"/>
          </w:tcPr>
          <w:p>
            <w:r>
              <w:t>中国能源建设集团天津电力设计院有限公司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tcW w:w="5005" w:type="dxa"/>
            <w:vAlign w:val="center"/>
          </w:tcPr>
          <w:p>
            <w:r>
              <w:t>基于汽车技术服务机构的财务数智化转型——中汽中心财务数智化落地实践案例</w:t>
            </w:r>
          </w:p>
        </w:tc>
        <w:tc>
          <w:tcPr>
            <w:tcW w:w="1276" w:type="dxa"/>
            <w:vAlign w:val="center"/>
          </w:tcPr>
          <w:p>
            <w:r>
              <w:t>张子婧</w:t>
            </w:r>
          </w:p>
        </w:tc>
        <w:tc>
          <w:tcPr>
            <w:tcW w:w="1779" w:type="dxa"/>
            <w:vAlign w:val="center"/>
          </w:tcPr>
          <w:p>
            <w:r>
              <w:t>中国汽车技术研究中心有限公司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tcW w:w="5005" w:type="dxa"/>
            <w:vAlign w:val="center"/>
          </w:tcPr>
          <w:p>
            <w:r>
              <w:t>自研预算调整程序推进预算管理工作高质量发展</w:t>
            </w:r>
          </w:p>
        </w:tc>
        <w:tc>
          <w:tcPr>
            <w:tcW w:w="1276" w:type="dxa"/>
            <w:vAlign w:val="center"/>
          </w:tcPr>
          <w:p>
            <w:r>
              <w:t>张为</w:t>
            </w:r>
          </w:p>
        </w:tc>
        <w:tc>
          <w:tcPr>
            <w:tcW w:w="1779" w:type="dxa"/>
            <w:vAlign w:val="center"/>
          </w:tcPr>
          <w:p>
            <w:r>
              <w:t>天津市东丽区教育局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tcW w:w="5005" w:type="dxa"/>
            <w:vAlign w:val="center"/>
          </w:tcPr>
          <w:p>
            <w:r>
              <w:t>数智化背景下高校战略性投入体系构建——T大学应用管理会计转型案例</w:t>
            </w:r>
          </w:p>
        </w:tc>
        <w:tc>
          <w:tcPr>
            <w:tcW w:w="1276" w:type="dxa"/>
            <w:vAlign w:val="center"/>
          </w:tcPr>
          <w:p>
            <w:r>
              <w:t>张帅帅</w:t>
            </w:r>
          </w:p>
        </w:tc>
        <w:tc>
          <w:tcPr>
            <w:tcW w:w="1779" w:type="dxa"/>
            <w:vAlign w:val="center"/>
          </w:tcPr>
          <w:p>
            <w:r>
              <w:t>天津大学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tcW w:w="5005" w:type="dxa"/>
            <w:vAlign w:val="center"/>
          </w:tcPr>
          <w:p>
            <w:r>
              <w:t>数智化背景下校园统一退费平台的构建与应用</w:t>
            </w:r>
          </w:p>
        </w:tc>
        <w:tc>
          <w:tcPr>
            <w:tcW w:w="1276" w:type="dxa"/>
            <w:vAlign w:val="center"/>
          </w:tcPr>
          <w:p>
            <w:r>
              <w:t>张阳</w:t>
            </w:r>
          </w:p>
        </w:tc>
        <w:tc>
          <w:tcPr>
            <w:tcW w:w="1779" w:type="dxa"/>
            <w:vAlign w:val="center"/>
          </w:tcPr>
          <w:p>
            <w:r>
              <w:t>天津职业大学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37</w:t>
            </w:r>
          </w:p>
        </w:tc>
        <w:tc>
          <w:tcPr>
            <w:tcW w:w="5005" w:type="dxa"/>
            <w:vAlign w:val="center"/>
          </w:tcPr>
          <w:p>
            <w:r>
              <w:t>RPA财务机器人在高校财务管理的应用案例</w:t>
            </w:r>
          </w:p>
        </w:tc>
        <w:tc>
          <w:tcPr>
            <w:tcW w:w="1276" w:type="dxa"/>
            <w:vAlign w:val="center"/>
          </w:tcPr>
          <w:p>
            <w:r>
              <w:t>张欣</w:t>
            </w:r>
          </w:p>
        </w:tc>
        <w:tc>
          <w:tcPr>
            <w:tcW w:w="1779" w:type="dxa"/>
            <w:vAlign w:val="center"/>
          </w:tcPr>
          <w:p>
            <w:r>
              <w:t>天津工业大学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tcW w:w="5005" w:type="dxa"/>
            <w:vAlign w:val="center"/>
          </w:tcPr>
          <w:p>
            <w:r>
              <w:t>企业财务数智化建设与数据资产价值挖掘应用</w:t>
            </w:r>
          </w:p>
        </w:tc>
        <w:tc>
          <w:tcPr>
            <w:tcW w:w="1276" w:type="dxa"/>
            <w:vAlign w:val="center"/>
          </w:tcPr>
          <w:p>
            <w:r>
              <w:t>张波</w:t>
            </w:r>
          </w:p>
        </w:tc>
        <w:tc>
          <w:tcPr>
            <w:tcW w:w="1779" w:type="dxa"/>
            <w:vAlign w:val="center"/>
          </w:tcPr>
          <w:p>
            <w:r>
              <w:t>中国天辰工程有限公司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39</w:t>
            </w:r>
          </w:p>
        </w:tc>
        <w:tc>
          <w:tcPr>
            <w:tcW w:w="5005" w:type="dxa"/>
            <w:vAlign w:val="center"/>
          </w:tcPr>
          <w:p>
            <w:r>
              <w:t>财务管报系统建设及指标看板的数智化应用</w:t>
            </w:r>
          </w:p>
        </w:tc>
        <w:tc>
          <w:tcPr>
            <w:tcW w:w="1276" w:type="dxa"/>
            <w:vAlign w:val="center"/>
          </w:tcPr>
          <w:p>
            <w:r>
              <w:t>张姗姗</w:t>
            </w:r>
          </w:p>
        </w:tc>
        <w:tc>
          <w:tcPr>
            <w:tcW w:w="1779" w:type="dxa"/>
            <w:vAlign w:val="center"/>
          </w:tcPr>
          <w:p>
            <w:r>
              <w:t>天津荣程祥泰投资控股集团有限公司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5005" w:type="dxa"/>
            <w:vAlign w:val="center"/>
          </w:tcPr>
          <w:p>
            <w:r>
              <w:t>天津市国资委固定资产管理数智化系统建设与应用</w:t>
            </w:r>
          </w:p>
        </w:tc>
        <w:tc>
          <w:tcPr>
            <w:tcW w:w="1276" w:type="dxa"/>
            <w:vAlign w:val="center"/>
          </w:tcPr>
          <w:p>
            <w:r>
              <w:t>张海潮</w:t>
            </w:r>
          </w:p>
        </w:tc>
        <w:tc>
          <w:tcPr>
            <w:tcW w:w="1779" w:type="dxa"/>
            <w:vAlign w:val="center"/>
          </w:tcPr>
          <w:p>
            <w:r>
              <w:t>天津市人民政府国有资产监督管理委员会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5005" w:type="dxa"/>
            <w:vAlign w:val="center"/>
          </w:tcPr>
          <w:p>
            <w:r>
              <w:t>管理会计数智化赋能餐饮行业高质量发展——以某餐饮企业数智化转型为例</w:t>
            </w:r>
          </w:p>
        </w:tc>
        <w:tc>
          <w:tcPr>
            <w:tcW w:w="1276" w:type="dxa"/>
            <w:vAlign w:val="center"/>
          </w:tcPr>
          <w:p>
            <w:r>
              <w:t>张敬勇</w:t>
            </w:r>
          </w:p>
        </w:tc>
        <w:tc>
          <w:tcPr>
            <w:tcW w:w="1779" w:type="dxa"/>
            <w:vAlign w:val="center"/>
          </w:tcPr>
          <w:p>
            <w:r>
              <w:t xml:space="preserve">执首企业管理咨询（天津）有限公司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tcW w:w="5005" w:type="dxa"/>
            <w:vAlign w:val="center"/>
          </w:tcPr>
          <w:p>
            <w:r>
              <w:t>以数智化重构财务治理——天津科技大学全场景报销系统驱动会计核算数智化转型的创新实践</w:t>
            </w:r>
          </w:p>
        </w:tc>
        <w:tc>
          <w:tcPr>
            <w:tcW w:w="1276" w:type="dxa"/>
            <w:vAlign w:val="center"/>
          </w:tcPr>
          <w:p>
            <w:r>
              <w:t>张蕊</w:t>
            </w:r>
          </w:p>
        </w:tc>
        <w:tc>
          <w:tcPr>
            <w:tcW w:w="1779" w:type="dxa"/>
            <w:vAlign w:val="center"/>
          </w:tcPr>
          <w:p>
            <w:r>
              <w:t>天津科技大学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43</w:t>
            </w:r>
          </w:p>
        </w:tc>
        <w:tc>
          <w:tcPr>
            <w:tcW w:w="5005" w:type="dxa"/>
            <w:vAlign w:val="center"/>
          </w:tcPr>
          <w:p>
            <w:r>
              <w:t>天津滨海农村商业银行基于交易级大总账系统的“业财分离”与智能核算实践</w:t>
            </w:r>
          </w:p>
        </w:tc>
        <w:tc>
          <w:tcPr>
            <w:tcW w:w="1276" w:type="dxa"/>
            <w:vAlign w:val="center"/>
          </w:tcPr>
          <w:p>
            <w:r>
              <w:t>尚庆英</w:t>
            </w:r>
          </w:p>
        </w:tc>
        <w:tc>
          <w:tcPr>
            <w:tcW w:w="1779" w:type="dxa"/>
            <w:vAlign w:val="center"/>
          </w:tcPr>
          <w:p>
            <w:r>
              <w:t>天津滨海农村商业银行股份有限公司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44</w:t>
            </w:r>
          </w:p>
        </w:tc>
        <w:tc>
          <w:tcPr>
            <w:tcW w:w="5005" w:type="dxa"/>
            <w:vAlign w:val="center"/>
          </w:tcPr>
          <w:p>
            <w:r>
              <w:t>体制筑基，数智赋能——BH集团司库体系建设提质增效实践案例</w:t>
            </w:r>
          </w:p>
        </w:tc>
        <w:tc>
          <w:tcPr>
            <w:tcW w:w="1276" w:type="dxa"/>
            <w:vAlign w:val="center"/>
          </w:tcPr>
          <w:p>
            <w:r>
              <w:t>帖剑英</w:t>
            </w:r>
          </w:p>
        </w:tc>
        <w:tc>
          <w:tcPr>
            <w:tcW w:w="1779" w:type="dxa"/>
            <w:vAlign w:val="center"/>
          </w:tcPr>
          <w:p>
            <w:r>
              <w:t>天津渤化资产经营管理有限公司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45</w:t>
            </w:r>
          </w:p>
        </w:tc>
        <w:tc>
          <w:tcPr>
            <w:tcW w:w="5005" w:type="dxa"/>
            <w:vAlign w:val="center"/>
          </w:tcPr>
          <w:p>
            <w:r>
              <w:t>基于大模型的会计核算自动化设计与实现</w:t>
            </w:r>
          </w:p>
        </w:tc>
        <w:tc>
          <w:tcPr>
            <w:tcW w:w="1276" w:type="dxa"/>
            <w:vAlign w:val="center"/>
          </w:tcPr>
          <w:p>
            <w:r>
              <w:t>罗敏</w:t>
            </w:r>
          </w:p>
        </w:tc>
        <w:tc>
          <w:tcPr>
            <w:tcW w:w="1779" w:type="dxa"/>
            <w:vAlign w:val="center"/>
          </w:tcPr>
          <w:p>
            <w: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46</w:t>
            </w:r>
          </w:p>
        </w:tc>
        <w:tc>
          <w:tcPr>
            <w:tcW w:w="5005" w:type="dxa"/>
            <w:vAlign w:val="center"/>
          </w:tcPr>
          <w:p>
            <w:r>
              <w:t>搭建全链路数智财务管理体系——天津能源投资集团财务数智化实践案例</w:t>
            </w:r>
          </w:p>
        </w:tc>
        <w:tc>
          <w:tcPr>
            <w:tcW w:w="1276" w:type="dxa"/>
            <w:vAlign w:val="center"/>
          </w:tcPr>
          <w:p>
            <w:r>
              <w:t>周宇飞</w:t>
            </w:r>
          </w:p>
        </w:tc>
        <w:tc>
          <w:tcPr>
            <w:tcW w:w="1779" w:type="dxa"/>
            <w:vAlign w:val="center"/>
          </w:tcPr>
          <w:p>
            <w:r>
              <w:t>天津能源投资集团有限公司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47</w:t>
            </w:r>
          </w:p>
        </w:tc>
        <w:tc>
          <w:tcPr>
            <w:tcW w:w="5005" w:type="dxa"/>
            <w:vAlign w:val="center"/>
          </w:tcPr>
          <w:p>
            <w:r>
              <w:t>数智化背景下新能源发电企业智慧会计核算模式转型实践</w:t>
            </w:r>
          </w:p>
        </w:tc>
        <w:tc>
          <w:tcPr>
            <w:tcW w:w="1276" w:type="dxa"/>
            <w:vAlign w:val="center"/>
          </w:tcPr>
          <w:p>
            <w:r>
              <w:t>周梦昱</w:t>
            </w:r>
          </w:p>
        </w:tc>
        <w:tc>
          <w:tcPr>
            <w:tcW w:w="1779" w:type="dxa"/>
            <w:vAlign w:val="center"/>
          </w:tcPr>
          <w:p>
            <w:r>
              <w:t>金开新能源股份有限公司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48</w:t>
            </w:r>
          </w:p>
        </w:tc>
        <w:tc>
          <w:tcPr>
            <w:tcW w:w="5005" w:type="dxa"/>
            <w:vAlign w:val="center"/>
          </w:tcPr>
          <w:p>
            <w:r>
              <w:t>数智化背景下智慧共享财务平台本地化建设</w:t>
            </w:r>
          </w:p>
        </w:tc>
        <w:tc>
          <w:tcPr>
            <w:tcW w:w="1276" w:type="dxa"/>
            <w:vAlign w:val="center"/>
          </w:tcPr>
          <w:p>
            <w:r>
              <w:t>庞及其</w:t>
            </w:r>
          </w:p>
        </w:tc>
        <w:tc>
          <w:tcPr>
            <w:tcW w:w="1779" w:type="dxa"/>
            <w:vAlign w:val="center"/>
          </w:tcPr>
          <w:p>
            <w:r>
              <w:t>国网天津市电力公司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49</w:t>
            </w:r>
          </w:p>
        </w:tc>
        <w:tc>
          <w:tcPr>
            <w:tcW w:w="5005" w:type="dxa"/>
            <w:vAlign w:val="center"/>
          </w:tcPr>
          <w:p>
            <w:r>
              <w:t xml:space="preserve">从“账房”到“智能参谋”：施工企业基于AI的数智化财务管理变革逻辑与路径——基于Z集团“方圆·智策”计划的案例研究  </w:t>
            </w:r>
          </w:p>
        </w:tc>
        <w:tc>
          <w:tcPr>
            <w:tcW w:w="1276" w:type="dxa"/>
            <w:vAlign w:val="center"/>
          </w:tcPr>
          <w:p>
            <w:r>
              <w:t>单良智玉</w:t>
            </w:r>
          </w:p>
        </w:tc>
        <w:tc>
          <w:tcPr>
            <w:tcW w:w="1779" w:type="dxa"/>
            <w:vAlign w:val="center"/>
          </w:tcPr>
          <w:p>
            <w:r>
              <w:t>中铁十八局集团北京工程有限公司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5005" w:type="dxa"/>
            <w:vAlign w:val="center"/>
          </w:tcPr>
          <w:p>
            <w:r>
              <w:t>数智赋能提质增效——施工企业基于共享服务平台的会计核算模式转型实践</w:t>
            </w:r>
          </w:p>
        </w:tc>
        <w:tc>
          <w:tcPr>
            <w:tcW w:w="1276" w:type="dxa"/>
            <w:vAlign w:val="center"/>
          </w:tcPr>
          <w:p>
            <w:r>
              <w:t>孟宪华</w:t>
            </w:r>
          </w:p>
        </w:tc>
        <w:tc>
          <w:tcPr>
            <w:tcW w:w="1779" w:type="dxa"/>
            <w:vAlign w:val="center"/>
          </w:tcPr>
          <w:p>
            <w:r>
              <w:t>中铁十八局集团建筑安装工程有限公司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51</w:t>
            </w:r>
          </w:p>
        </w:tc>
        <w:tc>
          <w:tcPr>
            <w:tcW w:w="5005" w:type="dxa"/>
            <w:vAlign w:val="center"/>
          </w:tcPr>
          <w:p>
            <w:r>
              <w:t>AI+天津市科技计划项目经费管理与评价体系构建与应用</w:t>
            </w:r>
          </w:p>
        </w:tc>
        <w:tc>
          <w:tcPr>
            <w:tcW w:w="1276" w:type="dxa"/>
            <w:vAlign w:val="center"/>
          </w:tcPr>
          <w:p>
            <w:r>
              <w:t>赵莉晓</w:t>
            </w:r>
          </w:p>
        </w:tc>
        <w:tc>
          <w:tcPr>
            <w:tcW w:w="1779" w:type="dxa"/>
            <w:vAlign w:val="center"/>
          </w:tcPr>
          <w:p>
            <w:r>
              <w:t>天津市科学技术局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52</w:t>
            </w:r>
          </w:p>
        </w:tc>
        <w:tc>
          <w:tcPr>
            <w:tcW w:w="5005" w:type="dxa"/>
            <w:vAlign w:val="center"/>
          </w:tcPr>
          <w:p>
            <w:r>
              <w:t>利用作业成本法破解铁路站段能源管理的应用</w:t>
            </w:r>
          </w:p>
        </w:tc>
        <w:tc>
          <w:tcPr>
            <w:tcW w:w="1276" w:type="dxa"/>
            <w:vAlign w:val="center"/>
          </w:tcPr>
          <w:p>
            <w:r>
              <w:t>姜凤侠</w:t>
            </w:r>
          </w:p>
        </w:tc>
        <w:tc>
          <w:tcPr>
            <w:tcW w:w="1779" w:type="dxa"/>
            <w:vAlign w:val="center"/>
          </w:tcPr>
          <w:p>
            <w:r>
              <w:t>中国铁路北京局集团有限公司天津车务段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53</w:t>
            </w:r>
          </w:p>
        </w:tc>
        <w:tc>
          <w:tcPr>
            <w:tcW w:w="5005" w:type="dxa"/>
            <w:vAlign w:val="center"/>
          </w:tcPr>
          <w:p>
            <w:r>
              <w:t>数智化驱动下城投企业数据资产入表会计核算模式创新实践</w:t>
            </w:r>
          </w:p>
        </w:tc>
        <w:tc>
          <w:tcPr>
            <w:tcW w:w="1276" w:type="dxa"/>
            <w:vAlign w:val="center"/>
          </w:tcPr>
          <w:p>
            <w:r>
              <w:t>高佳琪</w:t>
            </w:r>
          </w:p>
        </w:tc>
        <w:tc>
          <w:tcPr>
            <w:tcW w:w="1779" w:type="dxa"/>
            <w:vAlign w:val="center"/>
          </w:tcPr>
          <w:p>
            <w:r>
              <w:t>天津滨海新区建设投资集团有限公司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tcW w:w="5005" w:type="dxa"/>
            <w:vAlign w:val="center"/>
          </w:tcPr>
          <w:p>
            <w:r>
              <w:t>财务信息化建设与财会人才培养一体化实施案例</w:t>
            </w:r>
          </w:p>
        </w:tc>
        <w:tc>
          <w:tcPr>
            <w:tcW w:w="1276" w:type="dxa"/>
            <w:vAlign w:val="center"/>
          </w:tcPr>
          <w:p>
            <w:r>
              <w:t>高雪敏</w:t>
            </w:r>
          </w:p>
        </w:tc>
        <w:tc>
          <w:tcPr>
            <w:tcW w:w="1779" w:type="dxa"/>
            <w:vAlign w:val="center"/>
          </w:tcPr>
          <w:p>
            <w:r>
              <w:t>天津市住房公积金管理中心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55</w:t>
            </w:r>
          </w:p>
        </w:tc>
        <w:tc>
          <w:tcPr>
            <w:tcW w:w="5005" w:type="dxa"/>
            <w:vAlign w:val="center"/>
          </w:tcPr>
          <w:p>
            <w:r>
              <w:t>基于电子凭证会计数据应用的预算单位自主财会监督体系建设实践</w:t>
            </w:r>
          </w:p>
        </w:tc>
        <w:tc>
          <w:tcPr>
            <w:tcW w:w="1276" w:type="dxa"/>
            <w:vAlign w:val="center"/>
          </w:tcPr>
          <w:p>
            <w:r>
              <w:t>董键</w:t>
            </w:r>
          </w:p>
        </w:tc>
        <w:tc>
          <w:tcPr>
            <w:tcW w:w="1779" w:type="dxa"/>
            <w:vAlign w:val="center"/>
          </w:tcPr>
          <w:p>
            <w:r>
              <w:t>天津市津南区财政局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56</w:t>
            </w:r>
          </w:p>
        </w:tc>
        <w:tc>
          <w:tcPr>
            <w:tcW w:w="5005" w:type="dxa"/>
            <w:vAlign w:val="center"/>
          </w:tcPr>
          <w:p>
            <w:r>
              <w:t>数智化赋能会计核算模式转型——基于ERP升级的业财一体化实践案例</w:t>
            </w:r>
          </w:p>
        </w:tc>
        <w:tc>
          <w:tcPr>
            <w:tcW w:w="1276" w:type="dxa"/>
            <w:vAlign w:val="center"/>
          </w:tcPr>
          <w:p>
            <w:r>
              <w:t>曾向东</w:t>
            </w:r>
          </w:p>
        </w:tc>
        <w:tc>
          <w:tcPr>
            <w:tcW w:w="1779" w:type="dxa"/>
            <w:vAlign w:val="center"/>
          </w:tcPr>
          <w:p>
            <w:r>
              <w:t>天津渤化永利化工股份有限公司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57</w:t>
            </w:r>
          </w:p>
        </w:tc>
        <w:tc>
          <w:tcPr>
            <w:tcW w:w="5005" w:type="dxa"/>
            <w:vAlign w:val="center"/>
          </w:tcPr>
          <w:p>
            <w:r>
              <w:t>数智化赋能财务转型——共享服务创造管理价值</w:t>
            </w:r>
          </w:p>
        </w:tc>
        <w:tc>
          <w:tcPr>
            <w:tcW w:w="1276" w:type="dxa"/>
            <w:vAlign w:val="center"/>
          </w:tcPr>
          <w:p>
            <w:r>
              <w:t>谢希</w:t>
            </w:r>
          </w:p>
        </w:tc>
        <w:tc>
          <w:tcPr>
            <w:tcW w:w="1779" w:type="dxa"/>
            <w:vAlign w:val="center"/>
          </w:tcPr>
          <w:p>
            <w:r>
              <w:t>天津市医药集团有限公司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tcW w:w="5005" w:type="dxa"/>
            <w:vAlign w:val="center"/>
          </w:tcPr>
          <w:p>
            <w:r>
              <w:t>燃气公司财务数智化转型实操应用案例</w:t>
            </w:r>
          </w:p>
        </w:tc>
        <w:tc>
          <w:tcPr>
            <w:tcW w:w="1276" w:type="dxa"/>
            <w:vAlign w:val="center"/>
          </w:tcPr>
          <w:p>
            <w:r>
              <w:t>樊恒山</w:t>
            </w:r>
          </w:p>
        </w:tc>
        <w:tc>
          <w:tcPr>
            <w:tcW w:w="1779" w:type="dxa"/>
            <w:vAlign w:val="center"/>
          </w:tcPr>
          <w:p>
            <w:r>
              <w:t>津燃华润燃气有限公司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59</w:t>
            </w:r>
          </w:p>
        </w:tc>
        <w:tc>
          <w:tcPr>
            <w:tcW w:w="5005" w:type="dxa"/>
            <w:vAlign w:val="center"/>
          </w:tcPr>
          <w:p>
            <w:r>
              <w:t>人机协同，增效控险——中交华北财务共享中心智能运营与风控自动化实践</w:t>
            </w:r>
          </w:p>
        </w:tc>
        <w:tc>
          <w:tcPr>
            <w:tcW w:w="1276" w:type="dxa"/>
            <w:vAlign w:val="center"/>
          </w:tcPr>
          <w:p>
            <w:r>
              <w:t>颜荣皇</w:t>
            </w:r>
          </w:p>
        </w:tc>
        <w:tc>
          <w:tcPr>
            <w:tcW w:w="1779" w:type="dxa"/>
            <w:vAlign w:val="center"/>
          </w:tcPr>
          <w:p>
            <w:r>
              <w:t>中国交通建设股份有限公司华北财务共享中心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5005" w:type="dxa"/>
            <w:vAlign w:val="center"/>
          </w:tcPr>
          <w:p>
            <w:r>
              <w:t>建筑央企海外财务共享平台构建与管控路径研究——基于外汇管制、跨境税务及核算差异等多维视角</w:t>
            </w:r>
          </w:p>
        </w:tc>
        <w:tc>
          <w:tcPr>
            <w:tcW w:w="1276" w:type="dxa"/>
            <w:vAlign w:val="center"/>
          </w:tcPr>
          <w:p>
            <w:r>
              <w:t>魏永</w:t>
            </w:r>
          </w:p>
        </w:tc>
        <w:tc>
          <w:tcPr>
            <w:tcW w:w="1779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中铁十八局集团有限公司</w:t>
            </w:r>
          </w:p>
        </w:tc>
      </w:tr>
      <w:bookmarkEnd w:id="0"/>
    </w:tbl>
    <w:p/>
    <w:p>
      <w:pPr>
        <w:rPr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797" w:bottom="1134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4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1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4"/>
        <w:sz w:val="28"/>
        <w:szCs w:val="28"/>
      </w:rPr>
      <w:t>- 2 -</w:t>
    </w:r>
    <w:r>
      <w:rPr>
        <w:sz w:val="28"/>
        <w:szCs w:val="28"/>
      </w:rPr>
      <w:fldChar w:fldCharType="end"/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mNzJmZDhjNDA1ZDc3MzEyYWQ4YmQ4ODFlYjc1NGMifQ=="/>
  </w:docVars>
  <w:rsids>
    <w:rsidRoot w:val="00C14583"/>
    <w:rsid w:val="00021EC1"/>
    <w:rsid w:val="00037C78"/>
    <w:rsid w:val="000C7FB6"/>
    <w:rsid w:val="000D3777"/>
    <w:rsid w:val="000F5DFA"/>
    <w:rsid w:val="00114DAC"/>
    <w:rsid w:val="00131306"/>
    <w:rsid w:val="001B379D"/>
    <w:rsid w:val="001D0B99"/>
    <w:rsid w:val="00210DCC"/>
    <w:rsid w:val="00244E9C"/>
    <w:rsid w:val="00267CA5"/>
    <w:rsid w:val="002906F7"/>
    <w:rsid w:val="002B5B84"/>
    <w:rsid w:val="002C6F65"/>
    <w:rsid w:val="002E1DAB"/>
    <w:rsid w:val="002E2E1D"/>
    <w:rsid w:val="003360F2"/>
    <w:rsid w:val="00342188"/>
    <w:rsid w:val="003603C0"/>
    <w:rsid w:val="00393450"/>
    <w:rsid w:val="003C0142"/>
    <w:rsid w:val="003C5CC5"/>
    <w:rsid w:val="00462808"/>
    <w:rsid w:val="004A2342"/>
    <w:rsid w:val="004B231B"/>
    <w:rsid w:val="004C67E3"/>
    <w:rsid w:val="004C7943"/>
    <w:rsid w:val="004E648C"/>
    <w:rsid w:val="00511731"/>
    <w:rsid w:val="00517B13"/>
    <w:rsid w:val="00556AAB"/>
    <w:rsid w:val="00565BB0"/>
    <w:rsid w:val="005830FC"/>
    <w:rsid w:val="005C66C1"/>
    <w:rsid w:val="005D6E86"/>
    <w:rsid w:val="00620B65"/>
    <w:rsid w:val="006D6094"/>
    <w:rsid w:val="00705DEB"/>
    <w:rsid w:val="00727937"/>
    <w:rsid w:val="0074416E"/>
    <w:rsid w:val="00773EF1"/>
    <w:rsid w:val="0077766C"/>
    <w:rsid w:val="007A57B4"/>
    <w:rsid w:val="007E54C7"/>
    <w:rsid w:val="007F4C4A"/>
    <w:rsid w:val="007F5923"/>
    <w:rsid w:val="00810CD5"/>
    <w:rsid w:val="008161DC"/>
    <w:rsid w:val="00820FC2"/>
    <w:rsid w:val="00846823"/>
    <w:rsid w:val="00882C13"/>
    <w:rsid w:val="0089254E"/>
    <w:rsid w:val="008A1CA3"/>
    <w:rsid w:val="008A46E7"/>
    <w:rsid w:val="008D03CC"/>
    <w:rsid w:val="008F4EE7"/>
    <w:rsid w:val="00966082"/>
    <w:rsid w:val="009A1361"/>
    <w:rsid w:val="009C3E86"/>
    <w:rsid w:val="009F7229"/>
    <w:rsid w:val="009F7BB0"/>
    <w:rsid w:val="00A2152F"/>
    <w:rsid w:val="00A56035"/>
    <w:rsid w:val="00A67B57"/>
    <w:rsid w:val="00A9261C"/>
    <w:rsid w:val="00AC64CA"/>
    <w:rsid w:val="00B03A67"/>
    <w:rsid w:val="00B06D4D"/>
    <w:rsid w:val="00B07787"/>
    <w:rsid w:val="00B15920"/>
    <w:rsid w:val="00B4525A"/>
    <w:rsid w:val="00BA34DC"/>
    <w:rsid w:val="00C14583"/>
    <w:rsid w:val="00C61881"/>
    <w:rsid w:val="00CC3A7D"/>
    <w:rsid w:val="00CD7891"/>
    <w:rsid w:val="00CE1973"/>
    <w:rsid w:val="00D055CF"/>
    <w:rsid w:val="00D07E58"/>
    <w:rsid w:val="00D1287A"/>
    <w:rsid w:val="00D24036"/>
    <w:rsid w:val="00D36ACD"/>
    <w:rsid w:val="00D57AEC"/>
    <w:rsid w:val="00D64E31"/>
    <w:rsid w:val="00D67DB0"/>
    <w:rsid w:val="00D935D6"/>
    <w:rsid w:val="00DA0697"/>
    <w:rsid w:val="00DA6CFF"/>
    <w:rsid w:val="00DF36D0"/>
    <w:rsid w:val="00E254DA"/>
    <w:rsid w:val="00E33F06"/>
    <w:rsid w:val="00E5042D"/>
    <w:rsid w:val="00E578F0"/>
    <w:rsid w:val="00E619A5"/>
    <w:rsid w:val="00E77794"/>
    <w:rsid w:val="00EA11A8"/>
    <w:rsid w:val="00ED32FF"/>
    <w:rsid w:val="00EE360F"/>
    <w:rsid w:val="00EF1645"/>
    <w:rsid w:val="00EF6262"/>
    <w:rsid w:val="00F01831"/>
    <w:rsid w:val="00F107A1"/>
    <w:rsid w:val="00F11696"/>
    <w:rsid w:val="00F152A4"/>
    <w:rsid w:val="00F31B2B"/>
    <w:rsid w:val="00F32802"/>
    <w:rsid w:val="00F42EFE"/>
    <w:rsid w:val="00F849C3"/>
    <w:rsid w:val="00F8677E"/>
    <w:rsid w:val="00FD507F"/>
    <w:rsid w:val="0F7E2E35"/>
    <w:rsid w:val="14041655"/>
    <w:rsid w:val="1A841450"/>
    <w:rsid w:val="241E0B60"/>
    <w:rsid w:val="42561B50"/>
    <w:rsid w:val="6D759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qFormat="1" w:unhideWhenUsed="0" w:uiPriority="0" w:name="Body Text Indent 3"/>
    <w:lsdException w:uiPriority="99" w:name="Block Text"/>
    <w:lsdException w:qFormat="1" w:unhideWhenUsed="0" w:uiPriority="0" w:name="Hyperlink"/>
    <w:lsdException w:qFormat="1" w:unhideWhenUsed="0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color w:val="auto"/>
      <w:sz w:val="32"/>
      <w:szCs w:val="32"/>
    </w:rPr>
  </w:style>
  <w:style w:type="paragraph" w:styleId="3">
    <w:name w:val="heading 4"/>
    <w:basedOn w:val="1"/>
    <w:next w:val="1"/>
    <w:link w:val="2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0"/>
    <w:pPr>
      <w:spacing w:after="120"/>
    </w:pPr>
  </w:style>
  <w:style w:type="paragraph" w:styleId="5">
    <w:name w:val="Body Text Indent"/>
    <w:basedOn w:val="1"/>
    <w:semiHidden/>
    <w:qFormat/>
    <w:uiPriority w:val="0"/>
    <w:pPr>
      <w:spacing w:after="120"/>
      <w:ind w:left="420" w:leftChars="200"/>
    </w:pPr>
    <w:rPr>
      <w:color w:val="auto"/>
    </w:rPr>
  </w:style>
  <w:style w:type="paragraph" w:styleId="6">
    <w:name w:val="Plain Text"/>
    <w:basedOn w:val="1"/>
    <w:semiHidden/>
    <w:qFormat/>
    <w:uiPriority w:val="0"/>
    <w:rPr>
      <w:rFonts w:ascii="宋体" w:hAnsi="Courier New"/>
      <w:color w:val="auto"/>
      <w:szCs w:val="21"/>
    </w:rPr>
  </w:style>
  <w:style w:type="paragraph" w:styleId="7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8">
    <w:name w:val="Body Text Indent 2"/>
    <w:basedOn w:val="1"/>
    <w:semiHidden/>
    <w:unhideWhenUsed/>
    <w:qFormat/>
    <w:uiPriority w:val="0"/>
    <w:pPr>
      <w:spacing w:after="120" w:line="480" w:lineRule="auto"/>
      <w:ind w:left="420" w:leftChars="200"/>
    </w:pPr>
    <w:rPr>
      <w:color w:val="auto"/>
    </w:rPr>
  </w:style>
  <w:style w:type="paragraph" w:styleId="9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semiHidden/>
    <w:qFormat/>
    <w:uiPriority w:val="0"/>
    <w:pPr>
      <w:ind w:firstLine="640" w:firstLineChars="200"/>
    </w:pPr>
    <w:rPr>
      <w:rFonts w:ascii="仿宋_GB2312" w:hAnsi="宋体" w:eastAsia="仿宋_GB2312"/>
      <w:color w:val="FF0000"/>
      <w:sz w:val="32"/>
      <w:szCs w:val="32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auto"/>
      <w:kern w:val="0"/>
      <w:sz w:val="24"/>
    </w:rPr>
  </w:style>
  <w:style w:type="character" w:styleId="14">
    <w:name w:val="page number"/>
    <w:basedOn w:val="13"/>
    <w:semiHidden/>
    <w:qFormat/>
    <w:uiPriority w:val="0"/>
  </w:style>
  <w:style w:type="character" w:styleId="15">
    <w:name w:val="FollowedHyperlink"/>
    <w:semiHidden/>
    <w:qFormat/>
    <w:uiPriority w:val="0"/>
    <w:rPr>
      <w:color w:val="800080"/>
      <w:u w:val="single"/>
    </w:rPr>
  </w:style>
  <w:style w:type="character" w:styleId="16">
    <w:name w:val="Hyperlink"/>
    <w:semiHidden/>
    <w:qFormat/>
    <w:uiPriority w:val="0"/>
    <w:rPr>
      <w:color w:val="0000FF"/>
      <w:u w:val="single"/>
    </w:rPr>
  </w:style>
  <w:style w:type="table" w:styleId="18">
    <w:name w:val="Table Grid"/>
    <w:basedOn w:val="17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9">
    <w:name w:val="纯文本 Char"/>
    <w:semiHidden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正文文本缩进 Char"/>
    <w:semiHidden/>
    <w:qFormat/>
    <w:uiPriority w:val="0"/>
    <w:rPr>
      <w:kern w:val="2"/>
      <w:sz w:val="21"/>
      <w:szCs w:val="24"/>
    </w:rPr>
  </w:style>
  <w:style w:type="character" w:customStyle="1" w:styleId="21">
    <w:name w:val="正文文本缩进 2 Char"/>
    <w:semiHidden/>
    <w:qFormat/>
    <w:uiPriority w:val="0"/>
    <w:rPr>
      <w:kern w:val="2"/>
      <w:sz w:val="21"/>
      <w:szCs w:val="24"/>
    </w:rPr>
  </w:style>
  <w:style w:type="character" w:customStyle="1" w:styleId="22">
    <w:name w:val="正文文本 Char"/>
    <w:semiHidden/>
    <w:qFormat/>
    <w:uiPriority w:val="0"/>
    <w:rPr>
      <w:color w:val="000000"/>
      <w:kern w:val="2"/>
      <w:sz w:val="21"/>
      <w:szCs w:val="24"/>
    </w:rPr>
  </w:style>
  <w:style w:type="character" w:customStyle="1" w:styleId="23">
    <w:name w:val="页眉 Char"/>
    <w:semiHidden/>
    <w:qFormat/>
    <w:uiPriority w:val="0"/>
    <w:rPr>
      <w:color w:val="000000"/>
      <w:kern w:val="2"/>
      <w:sz w:val="18"/>
      <w:szCs w:val="18"/>
    </w:rPr>
  </w:style>
  <w:style w:type="character" w:customStyle="1" w:styleId="24">
    <w:name w:val="页脚 Char"/>
    <w:qFormat/>
    <w:uiPriority w:val="0"/>
    <w:rPr>
      <w:color w:val="000000"/>
      <w:kern w:val="2"/>
      <w:sz w:val="18"/>
      <w:szCs w:val="18"/>
    </w:rPr>
  </w:style>
  <w:style w:type="character" w:customStyle="1" w:styleId="25">
    <w:name w:val="标题 3 Char"/>
    <w:qFormat/>
    <w:uiPriority w:val="0"/>
    <w:rPr>
      <w:b/>
      <w:bCs/>
      <w:kern w:val="2"/>
      <w:sz w:val="32"/>
      <w:szCs w:val="32"/>
    </w:rPr>
  </w:style>
  <w:style w:type="paragraph" w:customStyle="1" w:styleId="26">
    <w:name w:val="默认段落字体 Para Char Char Char Char Char Char Char"/>
    <w:basedOn w:val="1"/>
    <w:qFormat/>
    <w:uiPriority w:val="0"/>
    <w:rPr>
      <w:rFonts w:ascii="Tahoma" w:hAnsi="Tahoma"/>
      <w:color w:val="auto"/>
      <w:sz w:val="24"/>
      <w:szCs w:val="20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28">
    <w:name w:val="标题 4 字符"/>
    <w:link w:val="3"/>
    <w:qFormat/>
    <w:uiPriority w:val="9"/>
    <w:rPr>
      <w:rFonts w:ascii="Cambria" w:hAnsi="Cambria" w:eastAsia="宋体" w:cs="Times New Roman"/>
      <w:b/>
      <w:bCs/>
      <w:color w:val="000000"/>
      <w:kern w:val="2"/>
      <w:sz w:val="28"/>
      <w:szCs w:val="28"/>
    </w:rPr>
  </w:style>
  <w:style w:type="character" w:customStyle="1" w:styleId="29">
    <w:name w:val="日期 字符"/>
    <w:basedOn w:val="13"/>
    <w:link w:val="7"/>
    <w:semiHidden/>
    <w:qFormat/>
    <w:uiPriority w:val="99"/>
    <w:rPr>
      <w:color w:val="000000"/>
      <w:kern w:val="2"/>
      <w:sz w:val="21"/>
      <w:szCs w:val="24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949</Words>
  <Characters>1022</Characters>
  <Lines>33</Lines>
  <Paragraphs>9</Paragraphs>
  <TotalTime>6</TotalTime>
  <ScaleCrop>false</ScaleCrop>
  <LinksUpToDate>false</LinksUpToDate>
  <CharactersWithSpaces>1028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2026-06-29T15:49:00Z</dcterms:created>
  <dc:creator>walkinnet</dc:creator>
  <cp:lastModifiedBy>DELL</cp:lastModifiedBy>
  <cp:lastPrinted>2017-04-28T10:00:00Z</cp:lastPrinted>
  <dcterms:modified xsi:type="dcterms:W3CDTF">2026-07-02T06:25:01Z</dcterms:modified>
  <dc:title>关于召开第六届会员代表大会的通知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7C1DC58B4CAB47858E946DCD02B13017_13</vt:lpwstr>
  </property>
  <property fmtid="{D5CDD505-2E9C-101B-9397-08002B2CF9AE}" pid="4" name="KSOTemplateDocerSaveRecord">
    <vt:lpwstr>eyJoZGlkIjoiN2Y2NDNkNDI1YWU2MjFiY2E0MmI3NGZkMjFlZTIyNDgiLCJ1c2VySWQiOiI1MzE0ODYyNTIifQ==</vt:lpwstr>
  </property>
</Properties>
</file>